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C4" w:rsidRPr="00472371" w:rsidRDefault="004D01C4" w:rsidP="004D01C4">
      <w:pPr>
        <w:spacing w:after="0"/>
        <w:rPr>
          <w:b/>
          <w:szCs w:val="28"/>
        </w:rPr>
      </w:pPr>
      <w:r>
        <w:rPr>
          <w:b/>
          <w:szCs w:val="28"/>
        </w:rPr>
        <w:t>Công đoàn cấp trên</w:t>
      </w:r>
      <w:r w:rsidRPr="00472371">
        <w:rPr>
          <w:b/>
          <w:szCs w:val="28"/>
        </w:rPr>
        <w:t xml:space="preserve">:…………                                                     </w:t>
      </w:r>
      <w:r>
        <w:rPr>
          <w:b/>
          <w:szCs w:val="28"/>
        </w:rPr>
        <w:tab/>
      </w:r>
      <w:r>
        <w:rPr>
          <w:b/>
          <w:szCs w:val="28"/>
        </w:rPr>
        <w:tab/>
      </w:r>
      <w:r>
        <w:rPr>
          <w:b/>
          <w:szCs w:val="28"/>
        </w:rPr>
        <w:tab/>
      </w:r>
    </w:p>
    <w:p w:rsidR="004D01C4" w:rsidRDefault="004D01C4" w:rsidP="004D01C4">
      <w:pPr>
        <w:spacing w:after="0"/>
        <w:rPr>
          <w:b/>
          <w:szCs w:val="28"/>
        </w:rPr>
      </w:pPr>
      <w:r>
        <w:rPr>
          <w:b/>
          <w:szCs w:val="28"/>
        </w:rPr>
        <w:t>Đơn vị</w:t>
      </w:r>
      <w:r w:rsidRPr="00472371">
        <w:rPr>
          <w:b/>
          <w:szCs w:val="28"/>
        </w:rPr>
        <w:t>:</w:t>
      </w:r>
      <w:r w:rsidRPr="00472371">
        <w:rPr>
          <w:rFonts w:ascii="Arial" w:hAnsi="Arial" w:cs="Arial"/>
          <w:b/>
          <w:szCs w:val="28"/>
        </w:rPr>
        <w:t>…………</w:t>
      </w:r>
      <w:r w:rsidRPr="00472371">
        <w:rPr>
          <w:b/>
          <w:szCs w:val="28"/>
        </w:rPr>
        <w:t xml:space="preserve">      </w:t>
      </w:r>
    </w:p>
    <w:p w:rsidR="004D01C4" w:rsidRDefault="004D01C4" w:rsidP="004D01C4">
      <w:pPr>
        <w:spacing w:after="0"/>
        <w:jc w:val="center"/>
        <w:rPr>
          <w:rFonts w:cs="Times New Roman"/>
          <w:b/>
          <w:sz w:val="32"/>
          <w:szCs w:val="32"/>
        </w:rPr>
      </w:pPr>
    </w:p>
    <w:p w:rsidR="004D01C4" w:rsidRPr="004D01C4" w:rsidRDefault="004D01C4" w:rsidP="004D01C4">
      <w:pPr>
        <w:spacing w:after="0"/>
        <w:jc w:val="center"/>
        <w:rPr>
          <w:rFonts w:cs="Times New Roman"/>
          <w:b/>
          <w:sz w:val="28"/>
          <w:szCs w:val="28"/>
        </w:rPr>
      </w:pPr>
      <w:r w:rsidRPr="004D01C4">
        <w:rPr>
          <w:rFonts w:cs="Times New Roman"/>
          <w:b/>
          <w:sz w:val="28"/>
          <w:szCs w:val="28"/>
        </w:rPr>
        <w:t>THUYẾT MINH BÁO CÁO</w:t>
      </w:r>
    </w:p>
    <w:p w:rsidR="004D01C4" w:rsidRPr="004D01C4" w:rsidRDefault="004D01C4" w:rsidP="004D01C4">
      <w:pPr>
        <w:spacing w:after="0"/>
        <w:jc w:val="center"/>
        <w:rPr>
          <w:rFonts w:cs="Times New Roman"/>
          <w:b/>
          <w:sz w:val="28"/>
          <w:szCs w:val="28"/>
        </w:rPr>
      </w:pPr>
      <w:r w:rsidRPr="004D01C4">
        <w:rPr>
          <w:rFonts w:cs="Times New Roman"/>
          <w:b/>
          <w:sz w:val="28"/>
          <w:szCs w:val="28"/>
        </w:rPr>
        <w:t>QUYẾT TOÁN THU, CHI TÀI CHÍNH CÔNG ĐOÀN</w:t>
      </w:r>
    </w:p>
    <w:p w:rsidR="004D01C4" w:rsidRDefault="004D01C4" w:rsidP="004D01C4">
      <w:pPr>
        <w:spacing w:after="0"/>
        <w:jc w:val="center"/>
        <w:rPr>
          <w:b/>
          <w:sz w:val="32"/>
          <w:szCs w:val="32"/>
        </w:rPr>
      </w:pPr>
      <w:r w:rsidRPr="004D01C4">
        <w:rPr>
          <w:rFonts w:cs="Times New Roman"/>
          <w:b/>
          <w:sz w:val="28"/>
          <w:szCs w:val="28"/>
        </w:rPr>
        <w:t>Năm 2018</w:t>
      </w:r>
    </w:p>
    <w:p w:rsidR="004D01C4" w:rsidRPr="004D01C4" w:rsidRDefault="004D01C4" w:rsidP="004D01C4">
      <w:pPr>
        <w:spacing w:after="0"/>
        <w:jc w:val="center"/>
        <w:rPr>
          <w:rFonts w:cs="Times New Roman"/>
          <w:b/>
          <w:sz w:val="28"/>
          <w:szCs w:val="28"/>
        </w:rPr>
      </w:pPr>
    </w:p>
    <w:p w:rsidR="004D01C4" w:rsidRPr="00652313" w:rsidRDefault="004D01C4" w:rsidP="004D01C4">
      <w:pPr>
        <w:spacing w:before="60" w:after="0" w:line="312" w:lineRule="auto"/>
        <w:ind w:firstLine="567"/>
        <w:rPr>
          <w:rFonts w:cs="Times New Roman"/>
          <w:b/>
          <w:szCs w:val="28"/>
          <w:lang w:val="vi-VN"/>
        </w:rPr>
      </w:pPr>
      <w:r w:rsidRPr="00652313">
        <w:rPr>
          <w:rFonts w:cs="Times New Roman"/>
          <w:b/>
          <w:szCs w:val="28"/>
        </w:rPr>
        <w:t>I. Tình hình th</w:t>
      </w:r>
      <w:r w:rsidRPr="00652313">
        <w:rPr>
          <w:rFonts w:cs="Times New Roman"/>
          <w:b/>
          <w:szCs w:val="28"/>
          <w:lang w:val="vi-VN"/>
        </w:rPr>
        <w:t>ực hiện nhiệm vụ thu, chi tài chính</w:t>
      </w:r>
    </w:p>
    <w:p w:rsidR="004D01C4" w:rsidRPr="00652313" w:rsidRDefault="004D01C4" w:rsidP="004D01C4">
      <w:pPr>
        <w:spacing w:before="60" w:after="0" w:line="312" w:lineRule="auto"/>
        <w:ind w:firstLine="567"/>
        <w:rPr>
          <w:rFonts w:cs="Times New Roman"/>
          <w:b/>
          <w:szCs w:val="28"/>
        </w:rPr>
      </w:pPr>
      <w:r w:rsidRPr="00652313">
        <w:rPr>
          <w:rFonts w:cs="Times New Roman"/>
          <w:b/>
          <w:szCs w:val="28"/>
        </w:rPr>
        <w:t>1. Kết quả thực hiện dự toán thu, chi tài chính công đoàn</w:t>
      </w:r>
    </w:p>
    <w:p w:rsidR="004D01C4" w:rsidRPr="00652313" w:rsidRDefault="004D01C4" w:rsidP="004D01C4">
      <w:pPr>
        <w:spacing w:before="60" w:after="0" w:line="312" w:lineRule="auto"/>
        <w:ind w:firstLine="567"/>
        <w:rPr>
          <w:rFonts w:cs="Times New Roman"/>
          <w:b/>
          <w:szCs w:val="28"/>
        </w:rPr>
      </w:pPr>
      <w:r w:rsidRPr="00652313">
        <w:rPr>
          <w:rFonts w:cs="Times New Roman"/>
          <w:b/>
          <w:szCs w:val="28"/>
        </w:rPr>
        <w:t>1.1. Kết quả thực hiện dự toán thu tài chính</w:t>
      </w:r>
    </w:p>
    <w:p w:rsidR="004D01C4" w:rsidRPr="004D01C4" w:rsidRDefault="004D01C4" w:rsidP="004D01C4">
      <w:pPr>
        <w:spacing w:before="60" w:after="0" w:line="312" w:lineRule="auto"/>
        <w:ind w:firstLine="567"/>
        <w:jc w:val="both"/>
        <w:rPr>
          <w:rFonts w:cs="Times New Roman"/>
          <w:spacing w:val="-2"/>
          <w:szCs w:val="28"/>
        </w:rPr>
      </w:pPr>
      <w:r w:rsidRPr="004D01C4">
        <w:rPr>
          <w:rFonts w:cs="Times New Roman"/>
          <w:spacing w:val="-2"/>
          <w:szCs w:val="28"/>
        </w:rPr>
        <w:t>- Đánh giá kết quả tổng hợp báo cáo quyết toán: Số đơn vị và tổng số lao động của các đơn vị có báo cáo quyết toán kỳ này, số đơn vị và tổng số lao động của các đơn vị chưa có báo cáo quyết toán kỳ này.</w:t>
      </w:r>
    </w:p>
    <w:p w:rsidR="004D01C4" w:rsidRDefault="004D01C4" w:rsidP="004D01C4">
      <w:pPr>
        <w:spacing w:before="60" w:after="0" w:line="312" w:lineRule="auto"/>
        <w:ind w:firstLine="567"/>
        <w:jc w:val="both"/>
        <w:rPr>
          <w:szCs w:val="28"/>
        </w:rPr>
      </w:pPr>
      <w:r w:rsidRPr="00652313">
        <w:rPr>
          <w:rFonts w:cs="Times New Roman"/>
          <w:szCs w:val="28"/>
        </w:rPr>
        <w:t xml:space="preserve">- </w:t>
      </w:r>
      <w:r>
        <w:rPr>
          <w:szCs w:val="28"/>
        </w:rPr>
        <w:t xml:space="preserve">Đánh giá kết quả </w:t>
      </w:r>
      <w:r w:rsidRPr="00652313">
        <w:rPr>
          <w:rFonts w:cs="Times New Roman"/>
          <w:szCs w:val="28"/>
        </w:rPr>
        <w:t>th</w:t>
      </w:r>
      <w:r w:rsidRPr="00652313">
        <w:rPr>
          <w:rFonts w:cs="Times New Roman"/>
          <w:szCs w:val="28"/>
          <w:lang w:val="vi-VN"/>
        </w:rPr>
        <w:t xml:space="preserve">ực hiện dự toán các nguồn thu của từng khu vực: HCSN, Doanh nghiệp Nhà nước, doanh nghiệp ngoài quốc </w:t>
      </w:r>
      <w:r>
        <w:rPr>
          <w:szCs w:val="28"/>
        </w:rPr>
        <w:t>d</w:t>
      </w:r>
      <w:r w:rsidRPr="00652313">
        <w:rPr>
          <w:rFonts w:cs="Times New Roman"/>
          <w:szCs w:val="28"/>
          <w:lang w:val="vi-VN"/>
        </w:rPr>
        <w:t>oanh trong nước, doanh nghiệp FDI,...</w:t>
      </w:r>
    </w:p>
    <w:p w:rsidR="004D01C4" w:rsidRDefault="004D01C4" w:rsidP="004D01C4">
      <w:pPr>
        <w:spacing w:before="60" w:after="0" w:line="312" w:lineRule="auto"/>
        <w:ind w:firstLine="567"/>
        <w:jc w:val="both"/>
        <w:rPr>
          <w:szCs w:val="28"/>
        </w:rPr>
      </w:pPr>
      <w:r>
        <w:rPr>
          <w:szCs w:val="28"/>
        </w:rPr>
        <w:t>- Thuyết minh kết quả nguồn thu khác.</w:t>
      </w:r>
    </w:p>
    <w:p w:rsidR="004D01C4" w:rsidRPr="00B963DA" w:rsidRDefault="004D01C4" w:rsidP="004D01C4">
      <w:pPr>
        <w:spacing w:before="60" w:after="0" w:line="312" w:lineRule="auto"/>
        <w:ind w:firstLine="567"/>
        <w:jc w:val="both"/>
        <w:rPr>
          <w:b/>
          <w:szCs w:val="28"/>
        </w:rPr>
      </w:pPr>
      <w:r w:rsidRPr="00B963DA">
        <w:rPr>
          <w:b/>
          <w:szCs w:val="28"/>
        </w:rPr>
        <w:t>1.2. Kết quả thực hiện dự toán chi tài chính</w:t>
      </w:r>
    </w:p>
    <w:p w:rsidR="004D01C4" w:rsidRDefault="004D01C4" w:rsidP="004D01C4">
      <w:pPr>
        <w:spacing w:before="60" w:after="0" w:line="312" w:lineRule="auto"/>
        <w:ind w:firstLine="567"/>
        <w:jc w:val="both"/>
        <w:rPr>
          <w:szCs w:val="28"/>
        </w:rPr>
      </w:pPr>
      <w:r>
        <w:rPr>
          <w:szCs w:val="28"/>
        </w:rPr>
        <w:t>- Đánh giá cân đối thu, chi tài chính trong năm của từng cấp.</w:t>
      </w:r>
    </w:p>
    <w:p w:rsidR="004D01C4" w:rsidRDefault="004D01C4" w:rsidP="004D01C4">
      <w:pPr>
        <w:spacing w:before="60" w:after="0" w:line="312" w:lineRule="auto"/>
        <w:ind w:firstLine="567"/>
        <w:jc w:val="both"/>
        <w:rPr>
          <w:szCs w:val="28"/>
        </w:rPr>
      </w:pPr>
      <w:r>
        <w:rPr>
          <w:szCs w:val="28"/>
        </w:rPr>
        <w:t>- Đánh giá kết quả thực hiện dự toán chi tài chính của từng cấp, từng khoản mục chi.</w:t>
      </w:r>
    </w:p>
    <w:p w:rsidR="004D01C4" w:rsidRDefault="004D01C4" w:rsidP="004D01C4">
      <w:pPr>
        <w:spacing w:before="60" w:after="0" w:line="312" w:lineRule="auto"/>
        <w:ind w:firstLine="567"/>
        <w:jc w:val="both"/>
        <w:rPr>
          <w:szCs w:val="28"/>
        </w:rPr>
      </w:pPr>
      <w:r>
        <w:rPr>
          <w:szCs w:val="28"/>
        </w:rPr>
        <w:t>- Chi xây dựng, mua sắm, sữa chữa TSCĐ.</w:t>
      </w:r>
    </w:p>
    <w:p w:rsidR="004D01C4" w:rsidRDefault="004D01C4" w:rsidP="004D01C4">
      <w:pPr>
        <w:spacing w:before="60" w:after="0" w:line="312" w:lineRule="auto"/>
        <w:ind w:firstLine="567"/>
        <w:jc w:val="both"/>
        <w:rPr>
          <w:szCs w:val="28"/>
        </w:rPr>
      </w:pPr>
      <w:r>
        <w:rPr>
          <w:szCs w:val="28"/>
        </w:rPr>
        <w:t>- Các khoản đầu tư tài chính.</w:t>
      </w:r>
    </w:p>
    <w:p w:rsidR="004D01C4" w:rsidRDefault="004D01C4" w:rsidP="004D01C4">
      <w:pPr>
        <w:spacing w:before="60" w:after="0" w:line="312" w:lineRule="auto"/>
        <w:ind w:firstLine="567"/>
        <w:jc w:val="both"/>
        <w:rPr>
          <w:szCs w:val="28"/>
        </w:rPr>
      </w:pPr>
      <w:r>
        <w:rPr>
          <w:szCs w:val="28"/>
        </w:rPr>
        <w:t>- Cấp kinh phí cho Công đoàn cơ sở.</w:t>
      </w:r>
    </w:p>
    <w:p w:rsidR="004D01C4" w:rsidRDefault="004D01C4" w:rsidP="004D01C4">
      <w:pPr>
        <w:spacing w:before="60" w:after="0" w:line="312" w:lineRule="auto"/>
        <w:ind w:firstLine="567"/>
        <w:jc w:val="both"/>
        <w:rPr>
          <w:b/>
          <w:szCs w:val="28"/>
        </w:rPr>
      </w:pPr>
      <w:r w:rsidRPr="00B963DA">
        <w:rPr>
          <w:rFonts w:cs="Times New Roman"/>
          <w:b/>
          <w:szCs w:val="28"/>
        </w:rPr>
        <w:t>1.3. Phân tích tài chính tích lũy cuối kỳ của từng cấp</w:t>
      </w:r>
    </w:p>
    <w:p w:rsidR="004D01C4" w:rsidRPr="00B963DA" w:rsidRDefault="004D01C4" w:rsidP="004D01C4">
      <w:pPr>
        <w:spacing w:before="60" w:after="0" w:line="312" w:lineRule="auto"/>
        <w:ind w:firstLine="567"/>
        <w:jc w:val="both"/>
        <w:rPr>
          <w:rFonts w:cs="Times New Roman"/>
          <w:b/>
          <w:szCs w:val="28"/>
        </w:rPr>
      </w:pPr>
      <w:r w:rsidRPr="00B963DA">
        <w:rPr>
          <w:rFonts w:cs="Times New Roman"/>
          <w:b/>
          <w:szCs w:val="28"/>
        </w:rPr>
        <w:t>2. Đánh giá các nội dung khác</w:t>
      </w:r>
    </w:p>
    <w:p w:rsidR="004D01C4" w:rsidRPr="00B963DA" w:rsidRDefault="004D01C4" w:rsidP="004D01C4">
      <w:pPr>
        <w:spacing w:before="60" w:after="0" w:line="312" w:lineRule="auto"/>
        <w:ind w:firstLine="567"/>
        <w:jc w:val="both"/>
        <w:rPr>
          <w:rFonts w:cs="Times New Roman"/>
          <w:szCs w:val="28"/>
        </w:rPr>
      </w:pPr>
      <w:r w:rsidRPr="00B963DA">
        <w:rPr>
          <w:rFonts w:cs="Times New Roman"/>
          <w:szCs w:val="28"/>
        </w:rPr>
        <w:t>- Nộp nghĩa vụ về Liên đoàn Lao động tỉnh</w:t>
      </w:r>
    </w:p>
    <w:p w:rsidR="004D01C4" w:rsidRPr="00B963DA" w:rsidRDefault="004D01C4" w:rsidP="004D01C4">
      <w:pPr>
        <w:spacing w:before="60" w:after="0" w:line="312" w:lineRule="auto"/>
        <w:ind w:firstLine="567"/>
        <w:jc w:val="both"/>
        <w:rPr>
          <w:rFonts w:cs="Times New Roman"/>
          <w:szCs w:val="28"/>
        </w:rPr>
      </w:pPr>
      <w:r w:rsidRPr="00B963DA">
        <w:rPr>
          <w:rFonts w:cs="Times New Roman"/>
          <w:szCs w:val="28"/>
        </w:rPr>
        <w:t>- Kết quả thực hiện khoán chi hành chính (nếu có)</w:t>
      </w:r>
    </w:p>
    <w:p w:rsidR="004D01C4" w:rsidRPr="00B963DA" w:rsidRDefault="004D01C4" w:rsidP="004D01C4">
      <w:pPr>
        <w:spacing w:before="60" w:after="0" w:line="312" w:lineRule="auto"/>
        <w:ind w:firstLine="567"/>
        <w:jc w:val="both"/>
        <w:rPr>
          <w:rFonts w:cs="Times New Roman"/>
          <w:b/>
          <w:szCs w:val="28"/>
        </w:rPr>
      </w:pPr>
      <w:r w:rsidRPr="00B963DA">
        <w:rPr>
          <w:rFonts w:cs="Times New Roman"/>
          <w:b/>
          <w:szCs w:val="28"/>
        </w:rPr>
        <w:t>II. Một số chỉ tiêu chi tiết tại đơn vị báo cáo quyết toán</w:t>
      </w:r>
    </w:p>
    <w:p w:rsidR="004D01C4" w:rsidRPr="00B963DA" w:rsidRDefault="004D01C4" w:rsidP="004D01C4">
      <w:pPr>
        <w:spacing w:before="60" w:after="0" w:line="312" w:lineRule="auto"/>
        <w:ind w:firstLine="567"/>
        <w:jc w:val="both"/>
        <w:rPr>
          <w:rFonts w:cs="Times New Roman"/>
          <w:szCs w:val="28"/>
        </w:rPr>
      </w:pPr>
      <w:r w:rsidRPr="00B963DA">
        <w:rPr>
          <w:rFonts w:cs="Times New Roman"/>
          <w:szCs w:val="28"/>
        </w:rPr>
        <w:t>- Tồn quỹ tiền mặt cuối kỳ.</w:t>
      </w:r>
    </w:p>
    <w:p w:rsidR="004D01C4" w:rsidRPr="00B963DA" w:rsidRDefault="004D01C4" w:rsidP="004D01C4">
      <w:pPr>
        <w:spacing w:before="60" w:after="0" w:line="312" w:lineRule="auto"/>
        <w:ind w:firstLine="567"/>
        <w:jc w:val="both"/>
        <w:rPr>
          <w:rFonts w:cs="Times New Roman"/>
          <w:szCs w:val="28"/>
        </w:rPr>
      </w:pPr>
      <w:r w:rsidRPr="00B963DA">
        <w:rPr>
          <w:rFonts w:cs="Times New Roman"/>
          <w:szCs w:val="28"/>
        </w:rPr>
        <w:t xml:space="preserve">- </w:t>
      </w:r>
      <w:r w:rsidRPr="00B963DA">
        <w:rPr>
          <w:rFonts w:cs="Times New Roman"/>
          <w:szCs w:val="28"/>
        </w:rPr>
        <w:t xml:space="preserve">Số </w:t>
      </w:r>
      <w:r w:rsidRPr="00B963DA">
        <w:rPr>
          <w:rFonts w:cs="Times New Roman"/>
          <w:szCs w:val="28"/>
        </w:rPr>
        <w:t>dư tài khoản tiền gửi Ngân hàng, Kho bạc cuối kỳ.</w:t>
      </w:r>
    </w:p>
    <w:p w:rsidR="004D01C4" w:rsidRPr="00B963DA" w:rsidRDefault="004D01C4" w:rsidP="004D01C4">
      <w:pPr>
        <w:spacing w:before="60" w:after="0" w:line="312" w:lineRule="auto"/>
        <w:ind w:firstLine="567"/>
        <w:jc w:val="both"/>
        <w:rPr>
          <w:rFonts w:cs="Times New Roman"/>
          <w:szCs w:val="28"/>
        </w:rPr>
      </w:pPr>
      <w:r w:rsidRPr="00B963DA">
        <w:rPr>
          <w:rFonts w:cs="Times New Roman"/>
          <w:szCs w:val="28"/>
        </w:rPr>
        <w:t>- Số dư tạm ứng, các khoản phải thu, phải trả cuối kỳ</w:t>
      </w:r>
    </w:p>
    <w:p w:rsidR="004D01C4" w:rsidRPr="00B963DA" w:rsidRDefault="004D01C4" w:rsidP="004D01C4">
      <w:pPr>
        <w:spacing w:before="60" w:after="0" w:line="312" w:lineRule="auto"/>
        <w:ind w:firstLine="567"/>
        <w:jc w:val="both"/>
        <w:rPr>
          <w:rFonts w:cs="Times New Roman"/>
          <w:szCs w:val="28"/>
        </w:rPr>
      </w:pPr>
      <w:r w:rsidRPr="00B963DA">
        <w:rPr>
          <w:rFonts w:cs="Times New Roman"/>
          <w:szCs w:val="28"/>
        </w:rPr>
        <w:t>- Số dư các quỹ cơ quan và kinh phí phải trả các đơn vị chưa thành lập CĐCS cuối kỳ</w:t>
      </w:r>
    </w:p>
    <w:p w:rsidR="004D01C4" w:rsidRPr="00B963DA" w:rsidRDefault="004D01C4" w:rsidP="004D01C4">
      <w:pPr>
        <w:spacing w:before="60" w:after="0" w:line="312" w:lineRule="auto"/>
        <w:ind w:firstLine="567"/>
        <w:jc w:val="both"/>
        <w:rPr>
          <w:rFonts w:cs="Times New Roman"/>
          <w:b/>
          <w:szCs w:val="28"/>
        </w:rPr>
      </w:pPr>
      <w:r w:rsidRPr="00B963DA">
        <w:rPr>
          <w:rFonts w:cs="Times New Roman"/>
          <w:b/>
          <w:szCs w:val="28"/>
        </w:rPr>
        <w:t>III. Thuyết minh khác</w:t>
      </w:r>
    </w:p>
    <w:p w:rsidR="004D01C4" w:rsidRPr="00B963DA" w:rsidRDefault="004D01C4" w:rsidP="004D01C4">
      <w:pPr>
        <w:spacing w:before="60" w:after="0" w:line="312" w:lineRule="auto"/>
        <w:ind w:firstLine="567"/>
        <w:jc w:val="both"/>
        <w:rPr>
          <w:rFonts w:cs="Times New Roman"/>
          <w:b/>
          <w:szCs w:val="28"/>
        </w:rPr>
      </w:pPr>
      <w:r w:rsidRPr="00B963DA">
        <w:rPr>
          <w:rFonts w:cs="Times New Roman"/>
          <w:b/>
          <w:szCs w:val="28"/>
        </w:rPr>
        <w:t>IV. Kiến nghị</w:t>
      </w:r>
    </w:p>
    <w:p w:rsidR="004D01C4" w:rsidRPr="00472371" w:rsidRDefault="004D01C4" w:rsidP="004D01C4">
      <w:pPr>
        <w:spacing w:after="0"/>
        <w:ind w:left="720"/>
        <w:rPr>
          <w:b/>
          <w:szCs w:val="28"/>
        </w:rPr>
      </w:pPr>
    </w:p>
    <w:p w:rsidR="004D01C4" w:rsidRPr="00472371" w:rsidRDefault="004D01C4" w:rsidP="004D01C4">
      <w:pPr>
        <w:spacing w:after="0"/>
        <w:ind w:left="720"/>
        <w:jc w:val="right"/>
        <w:rPr>
          <w:i/>
          <w:szCs w:val="28"/>
        </w:rPr>
      </w:pPr>
      <w:r w:rsidRPr="00472371">
        <w:rPr>
          <w:b/>
          <w:szCs w:val="28"/>
        </w:rPr>
        <w:t xml:space="preserve">          </w:t>
      </w:r>
      <w:r w:rsidRPr="00472371">
        <w:rPr>
          <w:i/>
          <w:szCs w:val="28"/>
        </w:rPr>
        <w:t>Ng</w:t>
      </w:r>
      <w:r>
        <w:rPr>
          <w:i/>
          <w:szCs w:val="28"/>
        </w:rPr>
        <w:t>ày</w:t>
      </w:r>
      <w:r w:rsidRPr="00472371">
        <w:rPr>
          <w:i/>
          <w:szCs w:val="28"/>
        </w:rPr>
        <w:t xml:space="preserve"> .........th</w:t>
      </w:r>
      <w:r>
        <w:rPr>
          <w:i/>
          <w:szCs w:val="28"/>
        </w:rPr>
        <w:t>á</w:t>
      </w:r>
      <w:r w:rsidRPr="00472371">
        <w:rPr>
          <w:i/>
          <w:szCs w:val="28"/>
        </w:rPr>
        <w:t>ng......... n</w:t>
      </w:r>
      <w:r>
        <w:rPr>
          <w:i/>
          <w:szCs w:val="28"/>
        </w:rPr>
        <w:t>ă</w:t>
      </w:r>
      <w:r w:rsidRPr="00472371">
        <w:rPr>
          <w:i/>
          <w:szCs w:val="28"/>
        </w:rPr>
        <w:t>m.........</w:t>
      </w:r>
    </w:p>
    <w:p w:rsidR="004D01C4" w:rsidRPr="00472371" w:rsidRDefault="004D01C4" w:rsidP="004D01C4">
      <w:pPr>
        <w:tabs>
          <w:tab w:val="center" w:pos="1843"/>
          <w:tab w:val="center" w:pos="8505"/>
        </w:tabs>
        <w:spacing w:after="0"/>
        <w:rPr>
          <w:rFonts w:ascii=".VnTimeH" w:hAnsi=".VnTimeH"/>
          <w:i/>
          <w:sz w:val="26"/>
          <w:szCs w:val="28"/>
        </w:rPr>
      </w:pPr>
      <w:r>
        <w:rPr>
          <w:rFonts w:cs="Times New Roman"/>
          <w:b/>
          <w:sz w:val="26"/>
          <w:szCs w:val="28"/>
        </w:rPr>
        <w:tab/>
      </w:r>
      <w:r w:rsidRPr="004D01C4">
        <w:rPr>
          <w:rFonts w:cs="Times New Roman"/>
          <w:b/>
          <w:sz w:val="26"/>
          <w:szCs w:val="28"/>
        </w:rPr>
        <w:t>NG</w:t>
      </w:r>
      <w:r w:rsidRPr="004D01C4">
        <w:rPr>
          <w:rFonts w:cs="Times New Roman"/>
          <w:b/>
          <w:sz w:val="26"/>
          <w:szCs w:val="28"/>
          <w:lang w:val="vi-VN"/>
        </w:rPr>
        <w:t xml:space="preserve">ƯỜI </w:t>
      </w:r>
      <w:r>
        <w:rPr>
          <w:rFonts w:cs="Times New Roman"/>
          <w:b/>
          <w:sz w:val="26"/>
          <w:szCs w:val="28"/>
        </w:rPr>
        <w:t>LẬP BẢNG</w:t>
      </w:r>
      <w:r w:rsidRPr="00472371">
        <w:rPr>
          <w:rFonts w:ascii=".VnTimeH" w:hAnsi=".VnTimeH"/>
          <w:b/>
          <w:sz w:val="26"/>
          <w:szCs w:val="28"/>
        </w:rPr>
        <w:t xml:space="preserve">          </w:t>
      </w:r>
      <w:bookmarkStart w:id="0" w:name="_GoBack"/>
      <w:bookmarkEnd w:id="0"/>
      <w:r>
        <w:rPr>
          <w:rFonts w:ascii=".VnTimeH" w:hAnsi=".VnTimeH"/>
          <w:b/>
          <w:sz w:val="26"/>
          <w:szCs w:val="28"/>
        </w:rPr>
        <w:tab/>
      </w:r>
      <w:r w:rsidRPr="00472371">
        <w:rPr>
          <w:rFonts w:ascii=".VnTimeH" w:hAnsi=".VnTimeH"/>
          <w:b/>
          <w:sz w:val="26"/>
          <w:szCs w:val="28"/>
        </w:rPr>
        <w:t>tm.</w:t>
      </w:r>
      <w:r>
        <w:rPr>
          <w:rFonts w:ascii=".VnTimeH" w:hAnsi=".VnTimeH"/>
          <w:b/>
          <w:sz w:val="26"/>
          <w:szCs w:val="28"/>
        </w:rPr>
        <w:t xml:space="preserve"> </w:t>
      </w:r>
      <w:r w:rsidRPr="00472371">
        <w:rPr>
          <w:rFonts w:ascii=".VnTimeH" w:hAnsi=".VnTimeH"/>
          <w:b/>
          <w:sz w:val="26"/>
          <w:szCs w:val="28"/>
        </w:rPr>
        <w:t>ban th­êng vô</w:t>
      </w:r>
    </w:p>
    <w:p w:rsidR="00BB63B9" w:rsidRDefault="00BB63B9" w:rsidP="004D01C4">
      <w:pPr>
        <w:spacing w:after="0"/>
      </w:pPr>
    </w:p>
    <w:sectPr w:rsidR="00BB63B9" w:rsidSect="004D01C4">
      <w:pgSz w:w="11907" w:h="16840" w:code="9"/>
      <w:pgMar w:top="680" w:right="62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C4"/>
    <w:rsid w:val="0046569F"/>
    <w:rsid w:val="004D01C4"/>
    <w:rsid w:val="006748E1"/>
    <w:rsid w:val="00BB63B9"/>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E53F-285B-40A2-ACD3-F9853CB6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cp:lastPrinted>2019-01-02T08:17:00Z</cp:lastPrinted>
  <dcterms:created xsi:type="dcterms:W3CDTF">2019-01-02T08:13:00Z</dcterms:created>
  <dcterms:modified xsi:type="dcterms:W3CDTF">2019-01-02T08:34:00Z</dcterms:modified>
</cp:coreProperties>
</file>